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center"/>
        <w:rPr>
          <w:rFonts w:hint="eastAsia" w:asciiTheme="minorEastAsia" w:hAnsiTheme="minorEastAsia" w:eastAsiaTheme="minorEastAsia" w:cstheme="minorEastAsia"/>
          <w:b/>
          <w:color w:val="333333"/>
          <w:sz w:val="28"/>
          <w:szCs w:val="28"/>
          <w:lang w:val="en-US" w:eastAsia="zh-CN"/>
        </w:rPr>
      </w:pP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绥滨县第二中学</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widowControl/>
        <w:numPr>
          <w:ilvl w:val="0"/>
          <w:numId w:val="1"/>
        </w:numPr>
        <w:spacing w:before="180" w:beforeAutospacing="0" w:after="360" w:afterAutospacing="0" w:line="450" w:lineRule="atLeast"/>
        <w:ind w:left="260"/>
        <w:rPr>
          <w:sz w:val="30"/>
          <w:szCs w:val="30"/>
        </w:rPr>
      </w:pPr>
      <w:r>
        <w:rPr>
          <w:rFonts w:hint="eastAsia" w:asciiTheme="minorEastAsia" w:hAnsiTheme="minorEastAsia" w:cstheme="minorEastAsia"/>
          <w:b/>
          <w:color w:val="333333"/>
          <w:sz w:val="28"/>
          <w:szCs w:val="28"/>
        </w:rPr>
        <w:t>部门概况</w:t>
      </w:r>
    </w:p>
    <w:p>
      <w:pPr>
        <w:pStyle w:val="2"/>
        <w:widowControl/>
        <w:numPr>
          <w:ilvl w:val="0"/>
          <w:numId w:val="2"/>
        </w:numPr>
        <w:spacing w:before="180" w:beforeAutospacing="0" w:after="360" w:afterAutospacing="0" w:line="450" w:lineRule="atLeast"/>
        <w:ind w:right="0" w:rightChars="0"/>
        <w:rPr>
          <w:rFonts w:hint="eastAsia"/>
          <w:sz w:val="30"/>
          <w:szCs w:val="30"/>
          <w:lang w:val="en-US" w:eastAsia="zh-CN"/>
        </w:rPr>
      </w:pPr>
      <w:r>
        <w:rPr>
          <w:rFonts w:hint="eastAsia"/>
          <w:sz w:val="30"/>
          <w:szCs w:val="30"/>
          <w:lang w:val="en-US" w:eastAsia="zh-CN"/>
        </w:rPr>
        <w:t>主要职能</w:t>
      </w:r>
    </w:p>
    <w:p>
      <w:pPr>
        <w:pStyle w:val="2"/>
        <w:widowControl/>
        <w:numPr>
          <w:ilvl w:val="0"/>
          <w:numId w:val="0"/>
        </w:numPr>
        <w:spacing w:before="180" w:beforeAutospacing="0" w:after="360" w:afterAutospacing="0" w:line="450" w:lineRule="atLeast"/>
        <w:ind w:right="0" w:rightChars="0"/>
        <w:rPr>
          <w:sz w:val="30"/>
          <w:szCs w:val="30"/>
        </w:rPr>
      </w:pPr>
      <w:r>
        <w:rPr>
          <w:rFonts w:hint="eastAsia"/>
          <w:sz w:val="30"/>
          <w:szCs w:val="30"/>
        </w:rPr>
        <w:t xml:space="preserve"> </w:t>
      </w:r>
      <w:r>
        <w:rPr>
          <w:sz w:val="30"/>
          <w:szCs w:val="30"/>
        </w:rPr>
        <w:t>(</w:t>
      </w:r>
      <w:r>
        <w:rPr>
          <w:rFonts w:hint="eastAsia"/>
          <w:sz w:val="30"/>
          <w:szCs w:val="30"/>
        </w:rPr>
        <w:t>一</w:t>
      </w:r>
      <w:r>
        <w:rPr>
          <w:sz w:val="30"/>
          <w:szCs w:val="30"/>
        </w:rPr>
        <w:t>)</w:t>
      </w:r>
      <w:r>
        <w:rPr>
          <w:rFonts w:hint="eastAsia"/>
          <w:sz w:val="30"/>
          <w:szCs w:val="30"/>
        </w:rPr>
        <w:t>、贯彻党的教育方针、坚持社会主义办学方向，实行教育与生产劳动相结合，对学生进行德育、智育、体育、美育和劳动等方面的教育。</w:t>
      </w:r>
    </w:p>
    <w:p>
      <w:pPr>
        <w:spacing w:before="156" w:beforeLines="50" w:line="432" w:lineRule="auto"/>
        <w:ind w:left="-105" w:leftChars="-50"/>
        <w:rPr>
          <w:sz w:val="30"/>
          <w:szCs w:val="30"/>
        </w:rPr>
      </w:pPr>
      <w:r>
        <w:rPr>
          <w:rFonts w:hint="eastAsia"/>
          <w:sz w:val="30"/>
          <w:szCs w:val="30"/>
        </w:rPr>
        <w:t>（二）、依法制定学校章程，并按章程自主管理。</w:t>
      </w:r>
    </w:p>
    <w:p>
      <w:pPr>
        <w:spacing w:before="156" w:beforeLines="50" w:line="432" w:lineRule="auto"/>
        <w:ind w:left="-105" w:leftChars="-50"/>
        <w:rPr>
          <w:sz w:val="30"/>
          <w:szCs w:val="30"/>
        </w:rPr>
      </w:pPr>
      <w:r>
        <w:rPr>
          <w:rFonts w:hint="eastAsia"/>
          <w:sz w:val="30"/>
          <w:szCs w:val="30"/>
        </w:rPr>
        <w:t>（三）、负责制定学校教育发展规划，并抓好组织实施和落实工作。（四）负责按照教育主管部门发布的指导性教学计划、教学大纲，组织实施教育教学活动。</w:t>
      </w:r>
    </w:p>
    <w:p>
      <w:pPr>
        <w:spacing w:before="156" w:beforeLines="50" w:line="432" w:lineRule="auto"/>
        <w:ind w:left="-105" w:leftChars="-50"/>
        <w:rPr>
          <w:sz w:val="30"/>
          <w:szCs w:val="30"/>
        </w:rPr>
      </w:pPr>
      <w:r>
        <w:rPr>
          <w:rFonts w:hint="eastAsia"/>
          <w:sz w:val="30"/>
          <w:szCs w:val="30"/>
        </w:rPr>
        <w:t>（五）负责依据国家教育主管部门有关教学计划课程设置方面的规定，决定和实施本校的教学计划，组织教学评比，集体备课，对学生统一考试、考核等。</w:t>
      </w:r>
    </w:p>
    <w:p>
      <w:pPr>
        <w:spacing w:before="156" w:beforeLines="50" w:line="432" w:lineRule="auto"/>
        <w:ind w:left="-105" w:leftChars="-50"/>
        <w:rPr>
          <w:rFonts w:ascii="仿宋_GB2312"/>
          <w:sz w:val="30"/>
          <w:szCs w:val="30"/>
        </w:rPr>
      </w:pPr>
      <w:r>
        <w:rPr>
          <w:rFonts w:hint="eastAsia"/>
          <w:sz w:val="30"/>
          <w:szCs w:val="30"/>
        </w:rPr>
        <w:t>（六）、负责学籍管理并对学生实行奖励或处分。</w:t>
      </w:r>
      <w:r>
        <w:rPr>
          <w:rFonts w:hint="eastAsia" w:ascii="仿宋_GB2312"/>
          <w:sz w:val="30"/>
          <w:szCs w:val="30"/>
        </w:rPr>
        <w:t>负责依法制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p>
    <w:p>
      <w:pPr>
        <w:spacing w:before="156" w:beforeLines="50" w:line="432" w:lineRule="auto"/>
        <w:ind w:left="-105" w:leftChars="-50"/>
        <w:rPr>
          <w:rFonts w:asciiTheme="minorEastAsia" w:hAnsiTheme="minorEastAsia" w:cstheme="minorEastAsia"/>
          <w:sz w:val="28"/>
          <w:szCs w:val="28"/>
        </w:rPr>
      </w:pPr>
      <w:r>
        <w:rPr>
          <w:rFonts w:hint="eastAsia" w:ascii="仿宋_GB2312"/>
          <w:sz w:val="30"/>
          <w:szCs w:val="30"/>
        </w:rPr>
        <w:t>（七）负责配合各级人民政府依法动员组织适龄少年入学，严格控制学生辍学，依法保证适龄儿童、少年接受九年义务教育。</w:t>
      </w:r>
    </w:p>
    <w:p>
      <w:pPr>
        <w:pStyle w:val="2"/>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2"/>
        <w:widowControl/>
        <w:spacing w:before="180" w:beforeAutospacing="0" w:after="360" w:afterAutospacing="0" w:line="450" w:lineRule="atLeast"/>
        <w:ind w:left="260" w:firstLine="1257" w:firstLineChars="449"/>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color w:val="333333"/>
          <w:sz w:val="28"/>
          <w:szCs w:val="28"/>
          <w:lang w:eastAsia="zh-CN"/>
        </w:rPr>
        <w:t>我单位</w:t>
      </w:r>
      <w:r>
        <w:rPr>
          <w:rFonts w:hint="eastAsia" w:asciiTheme="minorEastAsia" w:hAnsiTheme="minorEastAsia" w:cstheme="minorEastAsia"/>
          <w:color w:val="333333"/>
          <w:sz w:val="28"/>
          <w:szCs w:val="28"/>
        </w:rPr>
        <w:t>为</w:t>
      </w:r>
      <w:r>
        <w:rPr>
          <w:rFonts w:hint="eastAsia" w:asciiTheme="minorEastAsia" w:hAnsiTheme="minorEastAsia" w:cstheme="minorEastAsia"/>
          <w:color w:val="333333"/>
          <w:sz w:val="28"/>
          <w:szCs w:val="28"/>
          <w:lang w:eastAsia="zh-CN"/>
        </w:rPr>
        <w:t>事业单位</w:t>
      </w:r>
      <w:r>
        <w:rPr>
          <w:rFonts w:hint="eastAsia" w:asciiTheme="minorEastAsia" w:hAnsiTheme="minorEastAsia" w:cstheme="minorEastAsia"/>
          <w:color w:val="333333"/>
          <w:sz w:val="28"/>
          <w:szCs w:val="28"/>
        </w:rPr>
        <w:t>，内设个内设</w:t>
      </w:r>
      <w:r>
        <w:rPr>
          <w:rFonts w:hint="eastAsia" w:asciiTheme="minorEastAsia" w:hAnsiTheme="minorEastAsia" w:cstheme="minorEastAsia"/>
          <w:color w:val="333333"/>
          <w:sz w:val="28"/>
          <w:szCs w:val="28"/>
          <w:lang w:val="en-US" w:eastAsia="zh-CN"/>
        </w:rPr>
        <w:t>3</w:t>
      </w:r>
      <w:r>
        <w:rPr>
          <w:rFonts w:hint="eastAsia" w:asciiTheme="minorEastAsia" w:hAnsiTheme="minorEastAsia" w:cstheme="minorEastAsia"/>
          <w:color w:val="333333"/>
          <w:sz w:val="28"/>
          <w:szCs w:val="28"/>
        </w:rPr>
        <w:t>机构，为</w:t>
      </w:r>
      <w:r>
        <w:rPr>
          <w:rFonts w:hint="eastAsia" w:asciiTheme="minorEastAsia" w:hAnsiTheme="minorEastAsia" w:cstheme="minorEastAsia"/>
          <w:color w:val="333333"/>
          <w:sz w:val="28"/>
          <w:szCs w:val="28"/>
          <w:lang w:eastAsia="zh-CN"/>
        </w:rPr>
        <w:t>二</w:t>
      </w:r>
      <w:r>
        <w:rPr>
          <w:rFonts w:hint="eastAsia" w:asciiTheme="minorEastAsia" w:hAnsiTheme="minorEastAsia" w:cstheme="minorEastAsia"/>
          <w:color w:val="333333"/>
          <w:sz w:val="28"/>
          <w:szCs w:val="28"/>
        </w:rPr>
        <w:t>级预算单位。</w:t>
      </w:r>
      <w:r>
        <w:rPr>
          <w:rFonts w:hint="eastAsia" w:asciiTheme="minorEastAsia" w:hAnsiTheme="minorEastAsia" w:cstheme="minorEastAsia"/>
          <w:color w:val="333333"/>
          <w:sz w:val="28"/>
          <w:szCs w:val="28"/>
          <w:lang w:eastAsia="zh-CN"/>
        </w:rPr>
        <w:t>隶属于绥滨县教育局。</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44</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44</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28</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701.7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701.7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5.5</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default" w:asciiTheme="minorEastAsia" w:hAnsiTheme="minorEastAsia" w:eastAsiaTheme="minorEastAsia" w:cstheme="minorEastAsia"/>
          <w:i w:val="0"/>
          <w:caps w:val="0"/>
          <w:color w:val="333333"/>
          <w:spacing w:val="0"/>
          <w:sz w:val="28"/>
          <w:szCs w:val="28"/>
          <w:lang w:val="en-US"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701.7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701.6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99.98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上级补助收入0.1万元，占0.02%。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default" w:asciiTheme="minorEastAsia" w:hAnsiTheme="minorEastAsia" w:eastAsiaTheme="minorEastAsia" w:cstheme="minorEastAsia"/>
          <w:i w:val="0"/>
          <w:caps w:val="0"/>
          <w:color w:val="333333"/>
          <w:spacing w:val="0"/>
          <w:sz w:val="28"/>
          <w:szCs w:val="28"/>
          <w:lang w:val="en-US"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701.7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701.6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99.98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上级补助支出0.1万元，占0.02%。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701.7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37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5.5</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701.7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37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701.7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37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default" w:asciiTheme="minorEastAsia" w:hAnsiTheme="minorEastAsia" w:eastAsiaTheme="minorEastAsia" w:cstheme="minorEastAsia"/>
          <w:i w:val="0"/>
          <w:caps w:val="0"/>
          <w:color w:val="333333"/>
          <w:spacing w:val="0"/>
          <w:sz w:val="28"/>
          <w:szCs w:val="28"/>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701.6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60.5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8.6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35.8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工资支出</w:t>
      </w:r>
      <w:bookmarkStart w:id="0" w:name="_GoBack"/>
      <w:bookmarkEnd w:id="0"/>
      <w:r>
        <w:rPr>
          <w:rFonts w:hint="eastAsia" w:asciiTheme="minorEastAsia" w:hAnsiTheme="minorEastAsia" w:cstheme="minorEastAsia"/>
          <w:i w:val="0"/>
          <w:caps w:val="0"/>
          <w:color w:val="373737"/>
          <w:spacing w:val="0"/>
          <w:sz w:val="28"/>
          <w:szCs w:val="28"/>
          <w:shd w:val="clear" w:fill="FFFFFF"/>
          <w:vertAlign w:val="baseline"/>
          <w:lang w:val="en-US" w:eastAsia="zh-CN"/>
        </w:rPr>
        <w:t>422.5万元，占60.8%；奖金33.3万元，占4.7%，商品服务支出57.1万元，占8.1%；对个人和家庭补助支出53.8万元，占7.6%。</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default" w:asciiTheme="minorEastAsia" w:hAnsiTheme="minorEastAsia" w:eastAsia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701.7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110.8</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人员工资增加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60.5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60.5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155</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val="en-US" w:eastAsia="zh-CN"/>
        </w:rPr>
        <w:t>增加扶贫补助</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35.8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35.8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701.6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644.5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57.1</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default" w:asciiTheme="minorEastAsia" w:hAnsiTheme="minorEastAsia" w:eastAsiaTheme="minorEastAsia" w:cstheme="minorEastAsia"/>
          <w:i w:val="0"/>
          <w:caps w:val="0"/>
          <w:color w:val="373737"/>
          <w:spacing w:val="0"/>
          <w:sz w:val="28"/>
          <w:szCs w:val="28"/>
          <w:shd w:val="clear" w:fill="FFFFFF"/>
          <w:vertAlign w:val="baseline"/>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0.5</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80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80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val="en-US" w:eastAsia="zh-CN"/>
        </w:rPr>
        <w:t>减少20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Fonts w:hint="eastAsia" w:asciiTheme="minorEastAsia" w:hAnsiTheme="minorEastAsia" w:cstheme="minorEastAsia"/>
          <w:i w:val="0"/>
          <w:caps w:val="0"/>
          <w:color w:val="373737"/>
          <w:spacing w:val="0"/>
          <w:sz w:val="28"/>
          <w:szCs w:val="28"/>
          <w:shd w:val="clear" w:fill="FFFFFF"/>
          <w:vertAlign w:val="baseline"/>
          <w:lang w:val="en-US" w:eastAsia="zh-CN"/>
        </w:rPr>
        <w:t>132</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0万元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万元，自评覆盖率达到100%。共组织对等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万元。从评价情况来看，本部门共开展了进行了绩效考核。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B269A8"/>
    <w:multiLevelType w:val="singleLevel"/>
    <w:tmpl w:val="CCB269A8"/>
    <w:lvl w:ilvl="0" w:tentative="0">
      <w:start w:val="1"/>
      <w:numFmt w:val="chineseCounting"/>
      <w:suff w:val="nothing"/>
      <w:lvlText w:val="%1、"/>
      <w:lvlJc w:val="left"/>
      <w:rPr>
        <w:rFonts w:hint="eastAsia"/>
      </w:rPr>
    </w:lvl>
  </w:abstractNum>
  <w:abstractNum w:abstractNumId="1">
    <w:nsid w:val="6DFC520A"/>
    <w:multiLevelType w:val="singleLevel"/>
    <w:tmpl w:val="6DFC520A"/>
    <w:lvl w:ilvl="0" w:tentative="0">
      <w:start w:val="1"/>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79B676B"/>
    <w:rsid w:val="1A1F65C5"/>
    <w:rsid w:val="1CFB22BC"/>
    <w:rsid w:val="24EE362D"/>
    <w:rsid w:val="2A054FEB"/>
    <w:rsid w:val="2DE7389C"/>
    <w:rsid w:val="3964752F"/>
    <w:rsid w:val="3DDC6AB6"/>
    <w:rsid w:val="3E7434E4"/>
    <w:rsid w:val="3F98625C"/>
    <w:rsid w:val="40A65100"/>
    <w:rsid w:val="419008B3"/>
    <w:rsid w:val="62763A6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66</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朋友</cp:lastModifiedBy>
  <dcterms:modified xsi:type="dcterms:W3CDTF">2020-10-14T01:28:50Z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